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AD9AF25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210" w:afterAutospacing="0" w:line="21" w:lineRule="atLeast"/>
        <w:ind w:left="0" w:right="0" w:firstLine="0"/>
        <w:rPr>
          <w:rFonts w:ascii="Microsoft YaHei UI" w:hAnsi="Microsoft YaHei UI" w:eastAsia="Microsoft YaHei UI" w:cs="Microsoft YaHei UI"/>
          <w:b/>
          <w:bCs/>
          <w:i w:val="0"/>
          <w:iCs w:val="0"/>
          <w:caps w:val="0"/>
          <w:spacing w:val="8"/>
          <w:sz w:val="33"/>
          <w:szCs w:val="33"/>
        </w:rPr>
      </w:pPr>
      <w:r>
        <w:rPr>
          <w:rFonts w:hint="eastAsia" w:ascii="Microsoft YaHei UI" w:hAnsi="Microsoft YaHei UI" w:eastAsia="Microsoft YaHei UI" w:cs="Microsoft YaHei UI"/>
          <w:b/>
          <w:bCs/>
          <w:i w:val="0"/>
          <w:iCs w:val="0"/>
          <w:caps w:val="0"/>
          <w:spacing w:val="8"/>
          <w:sz w:val="33"/>
          <w:szCs w:val="33"/>
          <w:bdr w:val="none" w:color="auto" w:sz="0" w:space="0"/>
          <w:shd w:val="clear" w:fill="FFFFFF"/>
        </w:rPr>
        <w:t>专家解读文章之三 | 优化“两新”政策实施 畅通资源循环利用链条</w:t>
      </w:r>
    </w:p>
    <w:p w14:paraId="0C31AD4E"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360" w:afterAutospacing="0" w:line="368" w:lineRule="atLeast"/>
        <w:ind w:left="0" w:right="0" w:firstLine="0"/>
        <w:jc w:val="both"/>
        <w:rPr>
          <w:rFonts w:ascii="Microsoft YaHei UI" w:hAnsi="Microsoft YaHei UI" w:eastAsia="Microsoft YaHei UI" w:cs="Microsoft YaHei UI"/>
          <w:i w:val="0"/>
          <w:iCs w:val="0"/>
          <w:caps w:val="0"/>
          <w:spacing w:val="8"/>
          <w:sz w:val="25"/>
          <w:szCs w:val="25"/>
        </w:rPr>
      </w:pPr>
      <w:bookmarkStart w:id="0" w:name="_GoBack"/>
      <w:r>
        <w:rPr>
          <w:rFonts w:hint="eastAsia" w:ascii="Microsoft YaHei UI" w:hAnsi="Microsoft YaHei UI" w:eastAsia="Microsoft YaHei UI" w:cs="Microsoft YaHei UI"/>
          <w:b w:val="0"/>
          <w:bCs w:val="0"/>
          <w:i w:val="0"/>
          <w:iCs w:val="0"/>
          <w:caps w:val="0"/>
          <w:spacing w:val="7"/>
          <w:sz w:val="25"/>
          <w:szCs w:val="25"/>
          <w:bdr w:val="none" w:color="auto" w:sz="0" w:space="0"/>
          <w:shd w:val="clear" w:fill="FFFFFF"/>
        </w:rPr>
        <w:t>近日，国家发展改革委、财政部印发《关于2026年实施大规模设备更新和消费品以旧换新政策的通知》，部署实施2026年“两新”政策，这是贯彻落实党中央和国务院重大决策部署、有效扩大内需、建设强大国内市场的务实举措。2026年“两新”政策更加注重回应社会普遍关切和满足群众现实需要，对支持范围、补助比例、实施机制等进行了全方位的优化，推动更好释放政策效能。与此同时，2026年“两新”政策对回收循环利用行动作出系列部署，突出呈现“四个更加”，着力构建“前端激励更新+后端循环兜底”、报废更新和回收循环利用更好衔接的政策闭环，为提升国民经济循环质量和水平提供坚实助力。</w:t>
      </w:r>
    </w:p>
    <w:p w14:paraId="2A964E20"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360" w:afterAutospacing="0" w:line="368" w:lineRule="atLeast"/>
        <w:ind w:left="0" w:right="0" w:firstLine="0"/>
        <w:jc w:val="both"/>
        <w:rPr>
          <w:rFonts w:hint="eastAsia" w:ascii="Microsoft YaHei UI" w:hAnsi="Microsoft YaHei UI" w:eastAsia="Microsoft YaHei UI" w:cs="Microsoft YaHei UI"/>
          <w:i w:val="0"/>
          <w:iCs w:val="0"/>
          <w:caps w:val="0"/>
          <w:spacing w:val="8"/>
          <w:sz w:val="25"/>
          <w:szCs w:val="25"/>
        </w:rPr>
      </w:pPr>
      <w:r>
        <w:rPr>
          <w:rFonts w:hint="eastAsia" w:ascii="Microsoft YaHei UI" w:hAnsi="Microsoft YaHei UI" w:eastAsia="Microsoft YaHei UI" w:cs="Microsoft YaHei UI"/>
          <w:b/>
          <w:bCs/>
          <w:i w:val="0"/>
          <w:iCs w:val="0"/>
          <w:caps w:val="0"/>
          <w:spacing w:val="7"/>
          <w:sz w:val="25"/>
          <w:szCs w:val="25"/>
          <w:bdr w:val="none" w:color="auto" w:sz="0" w:space="0"/>
          <w:shd w:val="clear" w:fill="FFFFFF"/>
        </w:rPr>
        <w:t>一、推动回收网络更加完善</w:t>
      </w:r>
    </w:p>
    <w:p w14:paraId="4414E3E6"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360" w:afterAutospacing="0" w:line="368" w:lineRule="atLeast"/>
        <w:ind w:left="0" w:right="0" w:firstLine="0"/>
        <w:jc w:val="both"/>
        <w:rPr>
          <w:rFonts w:hint="eastAsia" w:ascii="Microsoft YaHei UI" w:hAnsi="Microsoft YaHei UI" w:eastAsia="Microsoft YaHei UI" w:cs="Microsoft YaHei UI"/>
          <w:i w:val="0"/>
          <w:iCs w:val="0"/>
          <w:caps w:val="0"/>
          <w:spacing w:val="8"/>
          <w:sz w:val="25"/>
          <w:szCs w:val="25"/>
        </w:rPr>
      </w:pPr>
      <w:r>
        <w:rPr>
          <w:rFonts w:hint="eastAsia" w:ascii="Microsoft YaHei UI" w:hAnsi="Microsoft YaHei UI" w:eastAsia="Microsoft YaHei UI" w:cs="Microsoft YaHei UI"/>
          <w:b w:val="0"/>
          <w:bCs w:val="0"/>
          <w:i w:val="0"/>
          <w:iCs w:val="0"/>
          <w:caps w:val="0"/>
          <w:spacing w:val="7"/>
          <w:sz w:val="25"/>
          <w:szCs w:val="25"/>
          <w:bdr w:val="none" w:color="auto" w:sz="0" w:space="0"/>
          <w:shd w:val="clear" w:fill="FFFFFF"/>
        </w:rPr>
        <w:t>聚焦当前回收网络分散化、碎片化的问题，通过龙头央企、供销系统、数字赋能等多维度协同发力，构建全域覆盖、高效联动的回收体系，显著提升废旧设备和消费品回收的规模化、规范化水平。一是发挥龙头企业牵引作用，提速搭建全国性功能性平台。支持中国资源循环集团加快展业兴业，搭建多层次、立体化、高效率的资源回收再利用体系，加快建设全国性、功能性的资源回收再利用平台。二是激活供销系统网络优势，完善县乡村回收体系。发挥供销系统多年深耕基层的突出优势，系统推进县乡村三级回收网络的提质升级，重点满足县乡居民、农户家中废旧家电、报废汽车及废旧农机设备等废旧物资的回收需求。三是注重数字技术赋能，培育多元回收生态。充分发挥“互联网+回收”的创新优势，支持互联网回收平台拓展回收品类，从传统家电、数码产品延伸至智能穿戴设备、废旧办公设备等细分领域；通过线上预约下单、线下上门回收或社区回收等模式，提升居民回收便捷性。</w:t>
      </w:r>
    </w:p>
    <w:p w14:paraId="54925E9B"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360" w:afterAutospacing="0" w:line="368" w:lineRule="atLeast"/>
        <w:ind w:left="0" w:right="0" w:firstLine="0"/>
        <w:jc w:val="both"/>
        <w:rPr>
          <w:rFonts w:hint="eastAsia" w:ascii="Microsoft YaHei UI" w:hAnsi="Microsoft YaHei UI" w:eastAsia="Microsoft YaHei UI" w:cs="Microsoft YaHei UI"/>
          <w:i w:val="0"/>
          <w:iCs w:val="0"/>
          <w:caps w:val="0"/>
          <w:spacing w:val="8"/>
          <w:sz w:val="25"/>
          <w:szCs w:val="25"/>
        </w:rPr>
      </w:pPr>
      <w:r>
        <w:rPr>
          <w:rFonts w:hint="eastAsia" w:ascii="Microsoft YaHei UI" w:hAnsi="Microsoft YaHei UI" w:eastAsia="Microsoft YaHei UI" w:cs="Microsoft YaHei UI"/>
          <w:b/>
          <w:bCs/>
          <w:i w:val="0"/>
          <w:iCs w:val="0"/>
          <w:caps w:val="0"/>
          <w:spacing w:val="7"/>
          <w:sz w:val="25"/>
          <w:szCs w:val="25"/>
          <w:bdr w:val="none" w:color="auto" w:sz="0" w:space="0"/>
          <w:shd w:val="clear" w:fill="FFFFFF"/>
        </w:rPr>
        <w:t>二、推动二手交易更加规范</w:t>
      </w:r>
    </w:p>
    <w:p w14:paraId="7DAF430F"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360" w:afterAutospacing="0" w:line="368" w:lineRule="atLeast"/>
        <w:ind w:left="0" w:right="0" w:firstLine="0"/>
        <w:jc w:val="both"/>
        <w:rPr>
          <w:rFonts w:hint="eastAsia" w:ascii="Microsoft YaHei UI" w:hAnsi="Microsoft YaHei UI" w:eastAsia="Microsoft YaHei UI" w:cs="Microsoft YaHei UI"/>
          <w:i w:val="0"/>
          <w:iCs w:val="0"/>
          <w:caps w:val="0"/>
          <w:spacing w:val="8"/>
          <w:sz w:val="25"/>
          <w:szCs w:val="25"/>
        </w:rPr>
      </w:pPr>
      <w:r>
        <w:rPr>
          <w:rFonts w:hint="eastAsia" w:ascii="Microsoft YaHei UI" w:hAnsi="Microsoft YaHei UI" w:eastAsia="Microsoft YaHei UI" w:cs="Microsoft YaHei UI"/>
          <w:b w:val="0"/>
          <w:bCs w:val="0"/>
          <w:i w:val="0"/>
          <w:iCs w:val="0"/>
          <w:caps w:val="0"/>
          <w:spacing w:val="7"/>
          <w:sz w:val="25"/>
          <w:szCs w:val="25"/>
          <w:bdr w:val="none" w:color="auto" w:sz="0" w:space="0"/>
          <w:shd w:val="clear" w:fill="FFFFFF"/>
        </w:rPr>
        <w:t>通过构建“线下集中规范、线上合规运营、评估标准统一透明”的二手交易规范体系，有效破解当前二手交易价格评估难、消费者维权难等突出难题。一是升级线下交易场所，打造集中规范市场。支持有条件的地区，规划建设集展示、交易、评估、维修、售后于一体的规模化二手交易市场，实行统一管理、分区经营、明码标价。二是完善交易管理制度，强化全流程监管。加快完善旧货交易管理制度，明确主体责任、交易规则等要求，推行二手商品交易备案制和溯源管理。例如，针对二手汽车，全面实施车辆档案电子化、交易信息联网核验，强制披露事故车、泡水车等关键信息。三是健全评估鉴定机制，统一行业标准规范。依托行业协会、科研机构等力量，加快制定二手设备、家电、数码产品等重点品类的评估鉴定标准，明确成色分级、性能检测、价值评估等指标。支持第三方专业评估鉴定机构发展，推行评估鉴定结果第三方认证。</w:t>
      </w:r>
    </w:p>
    <w:p w14:paraId="5CC125A8"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360" w:afterAutospacing="0" w:line="368" w:lineRule="atLeast"/>
        <w:ind w:left="0" w:right="0" w:firstLine="0"/>
        <w:jc w:val="both"/>
        <w:rPr>
          <w:rFonts w:hint="eastAsia" w:ascii="Microsoft YaHei UI" w:hAnsi="Microsoft YaHei UI" w:eastAsia="Microsoft YaHei UI" w:cs="Microsoft YaHei UI"/>
          <w:i w:val="0"/>
          <w:iCs w:val="0"/>
          <w:caps w:val="0"/>
          <w:spacing w:val="8"/>
          <w:sz w:val="25"/>
          <w:szCs w:val="25"/>
        </w:rPr>
      </w:pPr>
      <w:r>
        <w:rPr>
          <w:rFonts w:hint="eastAsia" w:ascii="Microsoft YaHei UI" w:hAnsi="Microsoft YaHei UI" w:eastAsia="Microsoft YaHei UI" w:cs="Microsoft YaHei UI"/>
          <w:b/>
          <w:bCs/>
          <w:i w:val="0"/>
          <w:iCs w:val="0"/>
          <w:caps w:val="0"/>
          <w:spacing w:val="7"/>
          <w:sz w:val="25"/>
          <w:szCs w:val="25"/>
          <w:bdr w:val="none" w:color="auto" w:sz="0" w:space="0"/>
          <w:shd w:val="clear" w:fill="FFFFFF"/>
        </w:rPr>
        <w:t>三、推动产业发展更加高质</w:t>
      </w:r>
    </w:p>
    <w:p w14:paraId="35867DE0"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360" w:afterAutospacing="0" w:line="368" w:lineRule="atLeast"/>
        <w:ind w:left="0" w:right="0" w:firstLine="0"/>
        <w:jc w:val="both"/>
        <w:rPr>
          <w:rFonts w:hint="eastAsia" w:ascii="Microsoft YaHei UI" w:hAnsi="Microsoft YaHei UI" w:eastAsia="Microsoft YaHei UI" w:cs="Microsoft YaHei UI"/>
          <w:i w:val="0"/>
          <w:iCs w:val="0"/>
          <w:caps w:val="0"/>
          <w:spacing w:val="8"/>
          <w:sz w:val="25"/>
          <w:szCs w:val="25"/>
        </w:rPr>
      </w:pPr>
      <w:r>
        <w:rPr>
          <w:rFonts w:hint="eastAsia" w:ascii="Microsoft YaHei UI" w:hAnsi="Microsoft YaHei UI" w:eastAsia="Microsoft YaHei UI" w:cs="Microsoft YaHei UI"/>
          <w:b w:val="0"/>
          <w:bCs w:val="0"/>
          <w:i w:val="0"/>
          <w:iCs w:val="0"/>
          <w:caps w:val="0"/>
          <w:spacing w:val="7"/>
          <w:sz w:val="25"/>
          <w:szCs w:val="25"/>
          <w:bdr w:val="none" w:color="auto" w:sz="0" w:space="0"/>
          <w:shd w:val="clear" w:fill="FFFFFF"/>
        </w:rPr>
        <w:t>通过“能力建设+监管执法+技术攻坚”的体系化部署，以建设高水平项目为载体、以规范市场秩序为保障、以突破核心技术为引擎，推动解决资源循环利用“小散弱”的问题。一是集聚扶持资金，支持高水平项目建设。安排超长期特别国债资金，精准投向技术含量高、资源利用效率高、环境效益好的资源循环利用项目，撬动社会资本参与。强化资金统筹使用，推动资金向优势区域、骨干企业集中。二是集聚废旧资源，强化生态环境执法。严格市场准入标准，开展生态环境执法检查，严厉打击“散乱污”企业违法拆解、超标排放、非法转移废旧资源等行为，依法关停淘汰环保不达标、安全无保障、资源利用效率低的“散、乱、污”企业，引导废旧资源更多流向合规循环经济企业。三是集聚科创资源，支持重大技术科研攻关。围绕废旧动力电池、废旧电器电子产品等重点领域“卡脖子”技术，集聚高校、科研院所、龙头企业的创新资源，构建“产学研用”协同创新体系。支持企业联合科研机构开展重大技术科研攻关，促进创新成果转化应用。</w:t>
      </w:r>
    </w:p>
    <w:p w14:paraId="6E1B736B"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360" w:afterAutospacing="0" w:line="368" w:lineRule="atLeast"/>
        <w:ind w:left="0" w:right="0" w:firstLine="0"/>
        <w:jc w:val="both"/>
        <w:rPr>
          <w:rFonts w:hint="eastAsia" w:ascii="Microsoft YaHei UI" w:hAnsi="Microsoft YaHei UI" w:eastAsia="Microsoft YaHei UI" w:cs="Microsoft YaHei UI"/>
          <w:i w:val="0"/>
          <w:iCs w:val="0"/>
          <w:caps w:val="0"/>
          <w:spacing w:val="8"/>
          <w:sz w:val="25"/>
          <w:szCs w:val="25"/>
        </w:rPr>
      </w:pPr>
      <w:r>
        <w:rPr>
          <w:rFonts w:hint="eastAsia" w:ascii="Microsoft YaHei UI" w:hAnsi="Microsoft YaHei UI" w:eastAsia="Microsoft YaHei UI" w:cs="Microsoft YaHei UI"/>
          <w:b/>
          <w:bCs/>
          <w:i w:val="0"/>
          <w:iCs w:val="0"/>
          <w:caps w:val="0"/>
          <w:spacing w:val="7"/>
          <w:sz w:val="25"/>
          <w:szCs w:val="25"/>
          <w:bdr w:val="none" w:color="auto" w:sz="0" w:space="0"/>
          <w:shd w:val="clear" w:fill="FFFFFF"/>
        </w:rPr>
        <w:t>四、推动资源利用更加高效</w:t>
      </w:r>
    </w:p>
    <w:p w14:paraId="51488D74"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360" w:afterAutospacing="0" w:line="368" w:lineRule="atLeast"/>
        <w:ind w:left="0" w:right="0" w:firstLine="0"/>
        <w:jc w:val="both"/>
        <w:rPr>
          <w:rFonts w:hint="eastAsia" w:ascii="Microsoft YaHei UI" w:hAnsi="Microsoft YaHei UI" w:eastAsia="Microsoft YaHei UI" w:cs="Microsoft YaHei UI"/>
          <w:i w:val="0"/>
          <w:iCs w:val="0"/>
          <w:caps w:val="0"/>
          <w:spacing w:val="8"/>
          <w:sz w:val="25"/>
          <w:szCs w:val="25"/>
        </w:rPr>
      </w:pPr>
      <w:r>
        <w:rPr>
          <w:rFonts w:hint="eastAsia" w:ascii="Microsoft YaHei UI" w:hAnsi="Microsoft YaHei UI" w:eastAsia="Microsoft YaHei UI" w:cs="Microsoft YaHei UI"/>
          <w:b w:val="0"/>
          <w:bCs w:val="0"/>
          <w:i w:val="0"/>
          <w:iCs w:val="0"/>
          <w:caps w:val="0"/>
          <w:spacing w:val="7"/>
          <w:sz w:val="25"/>
          <w:szCs w:val="25"/>
          <w:bdr w:val="none" w:color="auto" w:sz="0" w:space="0"/>
          <w:shd w:val="clear" w:fill="FFFFFF"/>
        </w:rPr>
        <w:t>通过分类分级施策、技术赋能增效，最大化挖掘废旧设备与消费品的资源价值，推动资源利用从“粗放式回收”向“精细化利用”转型，充分挖掘废旧产品设备价值和循环利用潜力。一是规范设备淘汰要求。分领域制定淘汰设备使用年限、技术指标等定量要求，将设备折旧和淘汰年限作为设备更新硬性条件，坚决避免资源浪费。二是推进合规再制造。聚焦汽车零部件、工程机械、机床、电机等重点领域，加强再制造技术研发与装备升级，提升再制造产业水平，确保再制造产品质量和安全环保性能不低于原型新品。三是鼓励精细化拆解。针对无法直接复用、难以再制造的废旧设备及消费品，推行“分类拆解、精准分离、定向回收”的精细化处置模式，依托智能拆解技术装备，实现不同品类资源的高效分离与高值回收。四是强化再生材料推广。研究制定重点产品应用推广再生材料相关标准，拓展再生材料在汽车制造、电器电子、纺织包装等重点领域的应用场景，提高再生钢铁、再生有色金属、再生塑料等使用比例。</w:t>
      </w:r>
    </w:p>
    <w:p w14:paraId="2E0315B4"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360" w:afterAutospacing="0" w:line="368" w:lineRule="atLeast"/>
        <w:ind w:left="0" w:right="0" w:firstLine="0"/>
        <w:jc w:val="both"/>
        <w:rPr>
          <w:rFonts w:hint="eastAsia" w:ascii="Microsoft YaHei UI" w:hAnsi="Microsoft YaHei UI" w:eastAsia="Microsoft YaHei UI" w:cs="Microsoft YaHei UI"/>
          <w:i w:val="0"/>
          <w:iCs w:val="0"/>
          <w:caps w:val="0"/>
          <w:spacing w:val="8"/>
          <w:sz w:val="25"/>
          <w:szCs w:val="25"/>
        </w:rPr>
      </w:pPr>
      <w:r>
        <w:rPr>
          <w:rFonts w:hint="eastAsia" w:ascii="Microsoft YaHei UI" w:hAnsi="Microsoft YaHei UI" w:eastAsia="Microsoft YaHei UI" w:cs="Microsoft YaHei UI"/>
          <w:b w:val="0"/>
          <w:bCs w:val="0"/>
          <w:i w:val="0"/>
          <w:iCs w:val="0"/>
          <w:caps w:val="0"/>
          <w:spacing w:val="7"/>
          <w:sz w:val="25"/>
          <w:szCs w:val="25"/>
          <w:bdr w:val="none" w:color="auto" w:sz="0" w:space="0"/>
          <w:shd w:val="clear" w:fill="FFFFFF"/>
        </w:rPr>
        <w:t>当前，正值“十四五”圆满收官、“十五五”顺利开局的关键阶段。“两新”工作是践行全面节约战略、扩大内需战略、绿色发展战略的有力抓手，回收循环利用作为“两新”行动的关键环节和重要举措，实施新政策正是打好开局的先手棋，将有力稳定市场预期、提振行业发展信心，驱动资源循环利用产业向规模化布局、高端化赋能、集约化发展跃升，进一步畅通全链条政策闭环，为培育壮大绿色新质生产力、助力经济社会发展全面绿色转型提供坚实支撑，为如期实现碳达峰碳中和目标、全面建设社会主义现代化国家筑牢绿色发展根基。（作者：中国循环经济协会 朱黎阳 端木祥慈）</w:t>
      </w:r>
    </w:p>
    <w:bookmarkEnd w:id="0"/>
    <w:p w14:paraId="4DA934BA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Microsoft YaHei UI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3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A64601E"/>
    <w:rsid w:val="0A6460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44"/>
      <w:sz w:val="48"/>
      <w:szCs w:val="48"/>
      <w:lang w:val="en-US" w:eastAsia="zh-CN" w:bidi="ar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Normal (Web)"/>
    <w:basedOn w:val="1"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0</Words>
  <Characters>0</Characters>
  <Lines>0</Lines>
  <Paragraphs>0</Paragraphs>
  <TotalTime>52</TotalTime>
  <ScaleCrop>false</ScaleCrop>
  <LinksUpToDate>false</LinksUpToDate>
  <CharactersWithSpaces>0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2026-01-06T06:31:00Z</dcterms:created>
  <dc:creator>宝麻</dc:creator>
  <cp:lastModifiedBy>宝麻</cp:lastModifiedBy>
  <dcterms:modified xsi:type="dcterms:W3CDTF">2026-01-06T07:24:26Z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ICV">
    <vt:lpwstr>D5202AB185AF4E459D248A215A996005_11</vt:lpwstr>
  </property>
  <property fmtid="{D5CDD505-2E9C-101B-9397-08002B2CF9AE}" pid="4" name="KSOTemplateDocerSaveRecord">
    <vt:lpwstr>eyJoZGlkIjoiMDQxYTFmMTZmZWVhOWFmNTk3ZjBlMDE3NzI0MzBhNzciLCJ1c2VySWQiOiI0OTU1ODUxMTAifQ==</vt:lpwstr>
  </property>
</Properties>
</file>