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9316B6">
      <w:pPr>
        <w:jc w:val="center"/>
        <w:rPr>
          <w:rFonts w:ascii="Arial" w:hAnsi="Arial" w:eastAsia="宋体" w:cs="Arial"/>
          <w:b/>
          <w:bCs/>
          <w:sz w:val="36"/>
          <w:szCs w:val="36"/>
          <w:bdr w:val="none" w:color="auto" w:sz="0" w:space="0"/>
        </w:rPr>
      </w:pPr>
      <w:r>
        <w:rPr>
          <w:rFonts w:ascii="Arial" w:hAnsi="Arial" w:eastAsia="宋体" w:cs="Arial"/>
          <w:b/>
          <w:bCs/>
          <w:sz w:val="36"/>
          <w:szCs w:val="36"/>
          <w:bdr w:val="none" w:color="auto" w:sz="0" w:space="0"/>
        </w:rPr>
        <w:t>国家发改委：将指导地方安排不少于</w:t>
      </w:r>
      <w:bookmarkStart w:id="0" w:name="_GoBack"/>
      <w:bookmarkEnd w:id="0"/>
    </w:p>
    <w:p w14:paraId="764DCF1C">
      <w:pPr>
        <w:jc w:val="center"/>
        <w:rPr>
          <w:rFonts w:ascii="Arial" w:hAnsi="Arial" w:eastAsia="宋体" w:cs="Arial"/>
          <w:b/>
          <w:bCs/>
          <w:sz w:val="36"/>
          <w:szCs w:val="36"/>
          <w:bdr w:val="none" w:color="auto" w:sz="0" w:space="0"/>
        </w:rPr>
      </w:pPr>
      <w:r>
        <w:rPr>
          <w:rFonts w:ascii="Arial" w:hAnsi="Arial" w:eastAsia="宋体" w:cs="Arial"/>
          <w:b/>
          <w:bCs/>
          <w:sz w:val="36"/>
          <w:szCs w:val="36"/>
          <w:bdr w:val="none" w:color="auto" w:sz="0" w:space="0"/>
        </w:rPr>
        <w:t>1%的产业用地支持资源循环利用</w:t>
      </w:r>
    </w:p>
    <w:p w14:paraId="35BE189E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75" w:lineRule="atLeast"/>
        <w:ind w:firstLine="450" w:firstLineChars="200"/>
        <w:textAlignment w:val="auto"/>
      </w:pPr>
      <w:r>
        <w:rPr>
          <w:rFonts w:ascii="Arial" w:hAnsi="Arial" w:cs="Arial"/>
          <w:sz w:val="22"/>
          <w:szCs w:val="22"/>
          <w:bdr w:val="none" w:color="auto" w:sz="0" w:space="0"/>
        </w:rPr>
        <w:t>1月13日，国务院新闻办公室举行国务院政策例行吹风会，介绍《固体废物综合治理行动计划》有关情况。会上，国家发展改革委副主任周海兵介绍，国家发展改革委会同生态环境部、工业和信息化部、住房城乡建设部、农业农村部等25个部门，研究起草了《固体废物综合治理行动计划》。日前，《行动计划》已报请国务院印发，并向社会公开发布。</w:t>
      </w:r>
    </w:p>
    <w:p w14:paraId="30F554B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75" w:lineRule="atLeast"/>
        <w:ind w:firstLine="450" w:firstLineChars="200"/>
        <w:textAlignment w:val="auto"/>
      </w:pPr>
      <w:r>
        <w:rPr>
          <w:rFonts w:hint="default" w:ascii="Arial" w:hAnsi="Arial" w:cs="Arial"/>
          <w:sz w:val="22"/>
          <w:szCs w:val="22"/>
          <w:bdr w:val="none" w:color="auto" w:sz="0" w:space="0"/>
        </w:rPr>
        <w:t>周海兵指出，发展循环经济对于固体废物综合治理至关重要。加强固体废物综合治理需遵循“减量化、资源化、无害化”原则，其中“减量化”和“资源化”集中体现了循环经济的理念。固体废物本质上是放错位置的宝贵资源，具有显著的资源属性。例如，冶炼渣富含稀贵金属，尾矿废石、建筑垃圾可替代天然砂石资源，生活垃圾经精细分拣可回收多种再生资源。通过发展循环经济，深入挖掘固体废物的资源价值，可实现变废为宝、化害为利，既能提升综合治理成效，也能增强资源保障能力。</w:t>
      </w:r>
    </w:p>
    <w:p w14:paraId="444C856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75" w:lineRule="atLeast"/>
        <w:ind w:firstLine="450" w:firstLineChars="200"/>
        <w:textAlignment w:val="auto"/>
      </w:pPr>
      <w:r>
        <w:rPr>
          <w:rFonts w:hint="default" w:ascii="Arial" w:hAnsi="Arial" w:cs="Arial"/>
          <w:sz w:val="22"/>
          <w:szCs w:val="22"/>
          <w:bdr w:val="none" w:color="auto" w:sz="0" w:space="0"/>
        </w:rPr>
        <w:t>周海兵表示，《行动计划》围绕固体废物的源头减量、过程管控和资源化利用提出明确要求，旨在推动形成可持续的商业模式，发挥市场力量促进循环经济发展，以支撑固体废物综合治理取得更大成效。具体举措主要包括四个方面：</w:t>
      </w:r>
    </w:p>
    <w:p w14:paraId="2E08E55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75" w:lineRule="atLeast"/>
        <w:ind w:firstLine="452" w:firstLineChars="200"/>
        <w:textAlignment w:val="auto"/>
      </w:pPr>
      <w:r>
        <w:rPr>
          <w:rStyle w:val="5"/>
          <w:rFonts w:hint="default" w:ascii="Arial" w:hAnsi="Arial" w:cs="Arial"/>
          <w:sz w:val="22"/>
          <w:szCs w:val="22"/>
          <w:bdr w:val="none" w:color="auto" w:sz="0" w:space="0"/>
        </w:rPr>
        <w:t>一是加强综合利用。</w:t>
      </w:r>
      <w:r>
        <w:rPr>
          <w:rFonts w:hint="default" w:ascii="Arial" w:hAnsi="Arial" w:cs="Arial"/>
          <w:sz w:val="22"/>
          <w:szCs w:val="22"/>
          <w:bdr w:val="none" w:color="auto" w:sz="0" w:space="0"/>
        </w:rPr>
        <w:t>针对工业、建筑、农业等领域产生的冶炼渣、尾矿、建筑垃圾、农作物秸秆等固体废物，在不改变其性状的基础上进行直接利用，提升综合利用能力。重点是强化对其中高价值成分的高效提取与整体利用，不断拓宽综合利用途径。</w:t>
      </w:r>
    </w:p>
    <w:p w14:paraId="2047D0CE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75" w:lineRule="atLeast"/>
        <w:ind w:firstLine="452" w:firstLineChars="200"/>
        <w:textAlignment w:val="auto"/>
      </w:pPr>
      <w:r>
        <w:rPr>
          <w:rStyle w:val="5"/>
          <w:rFonts w:hint="default" w:ascii="Arial" w:hAnsi="Arial" w:cs="Arial"/>
          <w:sz w:val="22"/>
          <w:szCs w:val="22"/>
          <w:bdr w:val="none" w:color="auto" w:sz="0" w:space="0"/>
        </w:rPr>
        <w:t>二是挖掘再生资源。</w:t>
      </w:r>
      <w:r>
        <w:rPr>
          <w:rFonts w:hint="default" w:ascii="Arial" w:hAnsi="Arial" w:cs="Arial"/>
          <w:sz w:val="22"/>
          <w:szCs w:val="22"/>
          <w:bdr w:val="none" w:color="auto" w:sz="0" w:space="0"/>
        </w:rPr>
        <w:t>对来自工业生产和社会生活的各类废弃产品设备，进行精细化拆解，回收塑料、金属、玻璃等再生资源。深入挖掘各类“城市矿产”潜力，鼓励发展“互联网+二手”模式，大力发展再制造产业，并有序推进海外优质再生资源的进口利用。</w:t>
      </w:r>
    </w:p>
    <w:p w14:paraId="3536A8B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75" w:lineRule="atLeast"/>
        <w:ind w:firstLine="452" w:firstLineChars="200"/>
        <w:textAlignment w:val="auto"/>
      </w:pPr>
      <w:r>
        <w:rPr>
          <w:rStyle w:val="5"/>
          <w:rFonts w:hint="default" w:ascii="Arial" w:hAnsi="Arial" w:cs="Arial"/>
          <w:sz w:val="22"/>
          <w:szCs w:val="22"/>
          <w:bdr w:val="none" w:color="auto" w:sz="0" w:space="0"/>
        </w:rPr>
        <w:t>三是推广再生材料。</w:t>
      </w:r>
      <w:r>
        <w:rPr>
          <w:rFonts w:hint="default" w:ascii="Arial" w:hAnsi="Arial" w:cs="Arial"/>
          <w:sz w:val="22"/>
          <w:szCs w:val="22"/>
          <w:bdr w:val="none" w:color="auto" w:sz="0" w:space="0"/>
        </w:rPr>
        <w:t>通过制度化、市场化手段，激励引导生产企业提高再生金属、再生塑料、再生纸浆等再生材料的使用比例。建立健全再生材料标准及认证制度，研究实施再生材料及产品碳足迹认证，推动将再生材料应用情况纳入企业社会责任范畴。</w:t>
      </w:r>
    </w:p>
    <w:p w14:paraId="06586FD2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75" w:lineRule="atLeast"/>
        <w:ind w:firstLine="452" w:firstLineChars="200"/>
        <w:textAlignment w:val="auto"/>
      </w:pPr>
      <w:r>
        <w:rPr>
          <w:rStyle w:val="5"/>
          <w:rFonts w:hint="default" w:ascii="Arial" w:hAnsi="Arial" w:cs="Arial"/>
          <w:sz w:val="22"/>
          <w:szCs w:val="22"/>
          <w:bdr w:val="none" w:color="auto" w:sz="0" w:space="0"/>
        </w:rPr>
        <w:t>四是完善保障措施。</w:t>
      </w:r>
      <w:r>
        <w:rPr>
          <w:rFonts w:hint="default" w:ascii="Arial" w:hAnsi="Arial" w:cs="Arial"/>
          <w:sz w:val="22"/>
          <w:szCs w:val="22"/>
          <w:bdr w:val="none" w:color="auto" w:sz="0" w:space="0"/>
        </w:rPr>
        <w:t>综合运用投资、科技、用地、税收等多种支持政策，推动形成可持续的商业模式。统筹现有资金渠道，支持符合条件的资源循环利用项目建设。加强固体废物循环利用关键技术研发，开展重大技术装备攻关。指导地方安排不少于1%的产业用地用于支持资源循环利用设施建设。持续推广资源回收企业向自然人报废产品出售者“反向开票”的便利措施。</w:t>
      </w:r>
    </w:p>
    <w:p w14:paraId="10CBDD6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75" w:lineRule="atLeast"/>
        <w:ind w:firstLine="450" w:firstLineChars="200"/>
        <w:textAlignment w:val="auto"/>
        <w:rPr>
          <w:rFonts w:hint="eastAsia" w:eastAsiaTheme="minorEastAsia"/>
          <w:lang w:eastAsia="zh-CN"/>
        </w:rPr>
      </w:pPr>
      <w:r>
        <w:rPr>
          <w:rFonts w:hint="default" w:ascii="Arial" w:hAnsi="Arial" w:cs="Arial"/>
          <w:sz w:val="22"/>
          <w:szCs w:val="22"/>
          <w:bdr w:val="none" w:color="auto" w:sz="0" w:space="0"/>
        </w:rPr>
        <w:t>周海兵还透露，今年国家发展改革委将牵头制定循环经济发展“十五五”规划，进一步明确重点领域循环经济发展目标任务，部署传统再生资源、稀贵金属、“新三样”（指新能源汽车动力电池、光伏组件、风电叶片等新型固体废物）等回收利用重点举措，完善保障体系，以期进一步提高资源利用效率，强化资源安全保障，支撑绿色低碳转型，推动循环经济高质量发展不断取得新成效</w:t>
      </w:r>
      <w:r>
        <w:rPr>
          <w:rFonts w:hint="eastAsia" w:ascii="Arial" w:hAnsi="Arial" w:cs="Arial"/>
          <w:sz w:val="22"/>
          <w:szCs w:val="22"/>
          <w:bdr w:val="none" w:color="auto" w:sz="0" w:space="0"/>
          <w:lang w:eastAsia="zh-CN"/>
        </w:rPr>
        <w:t>。</w:t>
      </w:r>
    </w:p>
    <w:p w14:paraId="1890B39F">
      <w:pPr>
        <w:rPr>
          <w:rFonts w:ascii="Arial" w:hAnsi="Arial" w:eastAsia="宋体" w:cs="Arial"/>
          <w:b/>
          <w:bCs/>
          <w:sz w:val="24"/>
          <w:szCs w:val="24"/>
          <w:bdr w:val="none" w:color="auto" w:sz="0" w:space="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085053"/>
    <w:rsid w:val="20085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uiPriority w:val="0"/>
    <w:rPr>
      <w:color w:val="333333"/>
      <w:sz w:val="18"/>
      <w:szCs w:val="18"/>
      <w:u w:val="none"/>
    </w:rPr>
  </w:style>
  <w:style w:type="character" w:styleId="7">
    <w:name w:val="Hyperlink"/>
    <w:basedOn w:val="4"/>
    <w:uiPriority w:val="0"/>
    <w:rPr>
      <w:color w:val="333333"/>
      <w:sz w:val="18"/>
      <w:szCs w:val="18"/>
      <w:u w:val="none"/>
    </w:rPr>
  </w:style>
  <w:style w:type="character" w:customStyle="1" w:styleId="8">
    <w:name w:val="disabled"/>
    <w:basedOn w:val="4"/>
    <w:uiPriority w:val="0"/>
    <w:rPr>
      <w:color w:val="01A2BF"/>
      <w:bdr w:val="single" w:color="FFE3C6" w:sz="6" w:space="0"/>
    </w:rPr>
  </w:style>
  <w:style w:type="character" w:customStyle="1" w:styleId="9">
    <w:name w:val="current"/>
    <w:basedOn w:val="4"/>
    <w:uiPriority w:val="0"/>
    <w:rPr>
      <w:b/>
      <w:bCs/>
      <w:color w:val="FFFFFF"/>
      <w:bdr w:val="single" w:color="01A2BF" w:sz="6" w:space="0"/>
      <w:shd w:val="clear" w:fill="00A2BF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2026-01-15T01:13:00Z</dcterms:created>
  <dc:creator>宝麻</dc:creator>
  <cp:lastModifiedBy>宝麻</cp:lastModifiedBy>
  <dcterms:modified xsi:type="dcterms:W3CDTF">2026-01-15T01:18:39Z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53A24B85E32040BB8C0166ACA65731CC_11</vt:lpwstr>
  </property>
  <property fmtid="{D5CDD505-2E9C-101B-9397-08002B2CF9AE}" pid="4" name="KSOTemplateDocerSaveRecord">
    <vt:lpwstr>eyJoZGlkIjoiMDQxYTFmMTZmZWVhOWFmNTk3ZjBlMDE3NzI0MzBhNzciLCJ1c2VySWQiOiI0OTU1ODUxMTAifQ==</vt:lpwstr>
  </property>
</Properties>
</file>